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2F696" w14:textId="77777777" w:rsidR="00AD34B9" w:rsidRPr="006C111A" w:rsidRDefault="00AD34B9" w:rsidP="00AD34B9">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3302F4CE" wp14:editId="13765902">
            <wp:simplePos x="0" y="0"/>
            <wp:positionH relativeFrom="margin">
              <wp:posOffset>110490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217A89B9" w14:textId="77777777" w:rsidR="00AD34B9" w:rsidRPr="006C111A" w:rsidRDefault="00AD34B9" w:rsidP="00AD34B9">
      <w:pPr>
        <w:widowControl/>
        <w:suppressAutoHyphens w:val="0"/>
        <w:spacing w:after="120"/>
        <w:rPr>
          <w:rFonts w:eastAsia="Times New Roman" w:cs="Times New Roman"/>
          <w:b/>
          <w:color w:val="000000"/>
          <w:kern w:val="0"/>
          <w:sz w:val="28"/>
          <w:szCs w:val="28"/>
          <w:lang w:eastAsia="lv-LV" w:bidi="ar-SA"/>
        </w:rPr>
      </w:pPr>
    </w:p>
    <w:p w14:paraId="75023EA4" w14:textId="77777777" w:rsidR="00AD34B9" w:rsidRPr="006C111A" w:rsidRDefault="00AD34B9" w:rsidP="00AD34B9">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722A21DF" w14:textId="77777777" w:rsidR="00AD34B9" w:rsidRPr="006C111A" w:rsidRDefault="00AD34B9" w:rsidP="00AD34B9">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5562516F" w14:textId="77777777" w:rsidR="00AD34B9" w:rsidRPr="006C111A" w:rsidRDefault="00AD34B9" w:rsidP="00AD34B9">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DAFF0B" w14:textId="77777777" w:rsidR="00AD34B9" w:rsidRPr="006C111A" w:rsidRDefault="00AD34B9" w:rsidP="00AD34B9">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7771C2A" w14:textId="77777777" w:rsidR="00AD34B9" w:rsidRPr="006C111A" w:rsidRDefault="00AD34B9" w:rsidP="00AD34B9">
      <w:pPr>
        <w:widowControl/>
        <w:suppressAutoHyphens w:val="0"/>
        <w:rPr>
          <w:rFonts w:eastAsia="Times New Roman" w:cs="Times New Roman"/>
          <w:b/>
          <w:bCs/>
          <w:caps/>
          <w:color w:val="000000"/>
          <w:kern w:val="0"/>
          <w:lang w:eastAsia="lv-LV" w:bidi="lo-LA"/>
        </w:rPr>
      </w:pPr>
    </w:p>
    <w:p w14:paraId="5F8068EC" w14:textId="77777777" w:rsidR="00AD34B9" w:rsidRPr="006C111A" w:rsidRDefault="00AD34B9" w:rsidP="00AD34B9">
      <w:pPr>
        <w:widowControl/>
        <w:suppressAutoHyphens w:val="0"/>
        <w:rPr>
          <w:rFonts w:eastAsia="Times New Roman" w:cs="Times New Roman"/>
          <w:b/>
          <w:bCs/>
          <w:caps/>
          <w:color w:val="000000"/>
          <w:kern w:val="0"/>
          <w:lang w:eastAsia="lv-LV" w:bidi="lo-LA"/>
        </w:rPr>
      </w:pPr>
    </w:p>
    <w:p w14:paraId="5C4614A0" w14:textId="77777777" w:rsidR="00AD34B9" w:rsidRPr="006C111A" w:rsidRDefault="00AD34B9" w:rsidP="00AD34B9">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079237BD" w14:textId="77777777" w:rsidR="00AD34B9" w:rsidRPr="006C111A" w:rsidRDefault="00AD34B9" w:rsidP="00AD34B9">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7C231A72" w14:textId="7540F15D" w:rsidR="00AD34B9" w:rsidRPr="006C111A" w:rsidRDefault="00AD34B9" w:rsidP="00BA6D75">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9BA8165" w14:textId="082F0DDB" w:rsidR="00AD34B9" w:rsidRDefault="00AD34B9" w:rsidP="00AD34B9">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sidRPr="006C111A">
        <w:rPr>
          <w:rFonts w:eastAsia="Arial Unicode MS" w:cs="Times New Roman"/>
          <w:b/>
          <w:color w:val="000000"/>
          <w:kern w:val="0"/>
          <w:lang w:eastAsia="lv-LV" w:bidi="ar-SA"/>
        </w:rPr>
        <w:t>2022. gada 20.aprīlī</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Nr.2</w:t>
      </w:r>
      <w:r>
        <w:rPr>
          <w:rFonts w:eastAsia="Arial Unicode MS" w:cs="Times New Roman"/>
          <w:b/>
          <w:color w:val="000000"/>
          <w:kern w:val="0"/>
          <w:lang w:eastAsia="lv-LV" w:bidi="ar-SA"/>
        </w:rPr>
        <w:t>22</w:t>
      </w:r>
      <w:r w:rsidRPr="006C111A">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Pr="006C111A">
        <w:rPr>
          <w:rFonts w:eastAsia="Arial Unicode MS" w:cs="Times New Roman"/>
          <w:color w:val="000000"/>
          <w:kern w:val="0"/>
          <w:lang w:eastAsia="lv-LV" w:bidi="ar-SA"/>
        </w:rPr>
        <w:t xml:space="preserve">(protokols Nr. 10, </w:t>
      </w:r>
      <w:r>
        <w:rPr>
          <w:rFonts w:eastAsia="Arial Unicode MS" w:cs="Times New Roman"/>
          <w:color w:val="000000"/>
          <w:kern w:val="0"/>
          <w:lang w:eastAsia="lv-LV" w:bidi="ar-SA"/>
        </w:rPr>
        <w:t>7</w:t>
      </w:r>
      <w:r w:rsidRPr="006C111A">
        <w:rPr>
          <w:rFonts w:eastAsia="Arial Unicode MS" w:cs="Times New Roman"/>
          <w:color w:val="000000"/>
          <w:kern w:val="0"/>
          <w:lang w:eastAsia="lv-LV" w:bidi="ar-SA"/>
        </w:rPr>
        <w:t>. p.)</w:t>
      </w:r>
    </w:p>
    <w:p w14:paraId="1033301A" w14:textId="77777777" w:rsidR="00AD34B9" w:rsidRDefault="00AD34B9" w:rsidP="00AD34B9">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07BBA19D" w14:textId="77777777" w:rsidR="00AD34B9" w:rsidRPr="00AD34B9" w:rsidRDefault="00AD34B9" w:rsidP="00AD34B9">
      <w:pPr>
        <w:widowControl/>
        <w:suppressAutoHyphens w:val="0"/>
        <w:jc w:val="both"/>
        <w:rPr>
          <w:rFonts w:eastAsia="MS Mincho" w:cs="Times New Roman"/>
          <w:b/>
          <w:kern w:val="0"/>
          <w:lang w:eastAsia="en-US" w:bidi="ar-SA"/>
        </w:rPr>
      </w:pPr>
      <w:bookmarkStart w:id="0" w:name="OLE_LINK1"/>
      <w:r w:rsidRPr="00AD34B9">
        <w:rPr>
          <w:rFonts w:eastAsia="MS Mincho" w:cs="Times New Roman"/>
          <w:b/>
          <w:kern w:val="0"/>
          <w:lang w:eastAsia="en-US" w:bidi="ar-SA"/>
        </w:rPr>
        <w:t>Par grozījumiem Madonas novada pašvaldības domes 29.03.2018. lēmuma Nr.138 (protokols Nr.5, 31.p.) “Par Madonas novada pašvaldības maksas pakalpojumu cenrāžu apstiprināšanu” pielikumā Nr.6 “Lazdonas pagasta pārvaldē sniegtie maksas pakalpojumi un to cenrādis</w:t>
      </w:r>
    </w:p>
    <w:p w14:paraId="12192B7A" w14:textId="77777777" w:rsidR="00AD34B9" w:rsidRPr="00AD34B9" w:rsidRDefault="00AD34B9" w:rsidP="00AD34B9">
      <w:pPr>
        <w:widowControl/>
        <w:suppressAutoHyphens w:val="0"/>
        <w:rPr>
          <w:rFonts w:eastAsia="MS Mincho" w:cs="Times New Roman"/>
          <w:kern w:val="0"/>
          <w:lang w:eastAsia="en-US" w:bidi="ar-SA"/>
        </w:rPr>
      </w:pPr>
    </w:p>
    <w:p w14:paraId="6AA59E51" w14:textId="77777777" w:rsidR="00AD34B9" w:rsidRPr="00AD34B9" w:rsidRDefault="00AD34B9" w:rsidP="00AD34B9">
      <w:pPr>
        <w:widowControl/>
        <w:suppressAutoHyphens w:val="0"/>
        <w:ind w:firstLine="720"/>
        <w:jc w:val="both"/>
        <w:rPr>
          <w:rFonts w:eastAsia="MS Mincho" w:cs="Times New Roman"/>
          <w:kern w:val="0"/>
          <w:lang w:eastAsia="en-US" w:bidi="ar-SA"/>
        </w:rPr>
      </w:pPr>
      <w:r w:rsidRPr="00AD34B9">
        <w:rPr>
          <w:rFonts w:eastAsia="MS Mincho" w:cs="Times New Roman"/>
          <w:kern w:val="0"/>
          <w:lang w:eastAsia="en-US" w:bidi="ar-SA"/>
        </w:rPr>
        <w:t xml:space="preserve">Sakarā ar pievienotās vērtības nodokļa (PVN) piemērošanu pēc grāmatvedības centralizācijas un lai pielīdzinātu Lazdonas pagasta maksas pakalpojumu izcenojumus pārējām Madonas novada pagastu pārvaldēm, ir nepieciešamas izmaiņas cenrādī. </w:t>
      </w:r>
    </w:p>
    <w:p w14:paraId="6EB76FB3" w14:textId="77777777" w:rsidR="00AD34B9" w:rsidRPr="00AD34B9" w:rsidRDefault="00AD34B9" w:rsidP="00AD34B9">
      <w:pPr>
        <w:widowControl/>
        <w:shd w:val="clear" w:color="auto" w:fill="FFFFFF"/>
        <w:suppressAutoHyphens w:val="0"/>
        <w:ind w:firstLine="720"/>
        <w:jc w:val="both"/>
        <w:rPr>
          <w:rFonts w:eastAsia="Times New Roman" w:cs="Times New Roman"/>
          <w:kern w:val="0"/>
          <w:lang w:eastAsia="en-US" w:bidi="ar-SA"/>
        </w:rPr>
      </w:pPr>
      <w:r w:rsidRPr="00AD34B9">
        <w:rPr>
          <w:rFonts w:eastAsia="MS Mincho" w:cs="Times New Roman"/>
          <w:kern w:val="0"/>
          <w:lang w:eastAsia="en-US" w:bidi="ar-SA"/>
        </w:rPr>
        <w:t>Likuma “Par pašvaldībām” 21.panta pirmās daļas 14.punkta a) un g) apakšpunktā paredzēts, ka tikai pašvaldības dome var noteikt, ja tas nav aizliegts vai noteikts ar likumiem vai Ministru kabineta noteikumiem, maksu par pašvaldības nekustamā un kustamā īpašuma lietošanu (iznomāšanu) un citiem pakalpojumiem.</w:t>
      </w:r>
    </w:p>
    <w:p w14:paraId="69D74D96" w14:textId="7EC3AB91" w:rsidR="00AD34B9" w:rsidRPr="00AD34B9" w:rsidRDefault="00AD34B9" w:rsidP="009C5B56">
      <w:pPr>
        <w:suppressAutoHyphens w:val="0"/>
        <w:autoSpaceDE w:val="0"/>
        <w:autoSpaceDN w:val="0"/>
        <w:adjustRightInd w:val="0"/>
        <w:spacing w:after="100"/>
        <w:ind w:firstLine="720"/>
        <w:jc w:val="both"/>
        <w:rPr>
          <w:rFonts w:eastAsia="MS Mincho" w:cs="Times New Roman"/>
          <w:kern w:val="0"/>
          <w:lang w:eastAsia="en-US" w:bidi="ar-SA"/>
        </w:rPr>
      </w:pPr>
      <w:r w:rsidRPr="00AD34B9">
        <w:rPr>
          <w:rFonts w:eastAsia="MS Mincho" w:cs="Times New Roman"/>
          <w:kern w:val="0"/>
          <w:lang w:eastAsia="en-US" w:bidi="ar-SA"/>
        </w:rPr>
        <w:t>Noklausījusies sniegto informāciju, pamatojoties uz likuma “Par pašvaldībām” 21.panta pirmās daļas 14.punktu, ņemot vērā 13.04.2022. Uzņēmējdarbības, teritoriālo un vides jautājumu komitejas</w:t>
      </w:r>
      <w:r>
        <w:rPr>
          <w:rFonts w:eastAsia="MS Mincho" w:cs="Times New Roman"/>
          <w:kern w:val="0"/>
          <w:lang w:eastAsia="en-US" w:bidi="ar-SA"/>
        </w:rPr>
        <w:t xml:space="preserve"> un 20.04.2022. Finanšu un attīstības komitejas</w:t>
      </w:r>
      <w:r w:rsidRPr="00AD34B9">
        <w:rPr>
          <w:rFonts w:eastAsia="MS Mincho" w:cs="Times New Roman"/>
          <w:kern w:val="0"/>
          <w:lang w:eastAsia="en-US" w:bidi="ar-SA"/>
        </w:rPr>
        <w:t xml:space="preserve"> atzinumu</w:t>
      </w:r>
      <w:r>
        <w:rPr>
          <w:rFonts w:eastAsia="MS Mincho" w:cs="Times New Roman"/>
          <w:kern w:val="0"/>
          <w:lang w:eastAsia="en-US" w:bidi="ar-SA"/>
        </w:rPr>
        <w:t>s</w:t>
      </w:r>
      <w:r w:rsidRPr="00AD34B9">
        <w:rPr>
          <w:rFonts w:eastAsia="MS Mincho" w:cs="Times New Roman"/>
          <w:kern w:val="0"/>
          <w:lang w:eastAsia="en-US" w:bidi="ar-SA"/>
        </w:rPr>
        <w:t>,</w:t>
      </w:r>
      <w:r w:rsidR="009C5B56" w:rsidRPr="009C5B56">
        <w:rPr>
          <w:b/>
          <w:bCs/>
          <w:color w:val="000000"/>
        </w:rPr>
        <w:t xml:space="preserve"> </w:t>
      </w:r>
      <w:r w:rsidR="009C5B56" w:rsidRPr="0098623B">
        <w:rPr>
          <w:b/>
          <w:bCs/>
          <w:color w:val="000000"/>
        </w:rPr>
        <w:t xml:space="preserve">atklāti balsojot: </w:t>
      </w:r>
      <w:r w:rsidR="009C5B56" w:rsidRPr="0098623B">
        <w:rPr>
          <w:b/>
          <w:color w:val="000000"/>
        </w:rPr>
        <w:t>PAR – 1</w:t>
      </w:r>
      <w:r w:rsidR="009C5B56">
        <w:rPr>
          <w:b/>
          <w:color w:val="000000"/>
        </w:rPr>
        <w:t>8</w:t>
      </w:r>
      <w:r w:rsidR="009C5B56" w:rsidRPr="0098623B">
        <w:rPr>
          <w:noProof/>
        </w:rPr>
        <w:t xml:space="preserve"> </w:t>
      </w:r>
      <w:r w:rsidR="009C5B56" w:rsidRPr="0098623B">
        <w:rPr>
          <w:bCs/>
          <w:noProof/>
        </w:rPr>
        <w:t xml:space="preserve">(Agris Lungevičs, Aigars Šķēls, Aivis Masaļskis, Andrejs Ceļapīters, </w:t>
      </w:r>
      <w:r w:rsidR="009C5B56">
        <w:rPr>
          <w:bCs/>
          <w:noProof/>
        </w:rPr>
        <w:t xml:space="preserve">Andris Dombrovskis, </w:t>
      </w:r>
      <w:r w:rsidR="009C5B56" w:rsidRPr="0098623B">
        <w:rPr>
          <w:bCs/>
          <w:noProof/>
        </w:rPr>
        <w:t xml:space="preserve">Andris Sakne, Artūrs Čačka, Artūrs Grandāns, </w:t>
      </w:r>
      <w:r w:rsidR="009C5B56">
        <w:rPr>
          <w:bCs/>
          <w:noProof/>
        </w:rPr>
        <w:t xml:space="preserve">Gatis Teilis, </w:t>
      </w:r>
      <w:r w:rsidR="009C5B56" w:rsidRPr="0098623B">
        <w:rPr>
          <w:bCs/>
          <w:noProof/>
        </w:rPr>
        <w:t xml:space="preserve">Gunārs Ikaunieks, Guntis Klikučs, Iveta Peilāne, Kaspars Udrass, </w:t>
      </w:r>
      <w:r w:rsidR="009C5B56">
        <w:rPr>
          <w:bCs/>
          <w:noProof/>
        </w:rPr>
        <w:t xml:space="preserve">Māris Olte, </w:t>
      </w:r>
      <w:r w:rsidR="009C5B56" w:rsidRPr="0098623B">
        <w:rPr>
          <w:bCs/>
          <w:noProof/>
        </w:rPr>
        <w:t>Rūdolfs Preiss, Valda Kļaviņa, Vita Robalte, Zigfrīds Gora),</w:t>
      </w:r>
      <w:r w:rsidR="009C5B56" w:rsidRPr="0098623B">
        <w:rPr>
          <w:b/>
          <w:noProof/>
        </w:rPr>
        <w:t xml:space="preserve"> </w:t>
      </w:r>
      <w:r w:rsidR="009C5B56" w:rsidRPr="0098623B">
        <w:rPr>
          <w:b/>
          <w:color w:val="000000"/>
        </w:rPr>
        <w:t>PRET – NAV</w:t>
      </w:r>
      <w:r w:rsidR="009C5B56" w:rsidRPr="0098623B">
        <w:rPr>
          <w:bCs/>
          <w:noProof/>
          <w:color w:val="000000"/>
        </w:rPr>
        <w:t>,</w:t>
      </w:r>
      <w:r w:rsidR="009C5B56" w:rsidRPr="0098623B">
        <w:rPr>
          <w:b/>
          <w:color w:val="000000"/>
        </w:rPr>
        <w:t xml:space="preserve"> ATTURAS –  NAV</w:t>
      </w:r>
      <w:r w:rsidR="009C5B56" w:rsidRPr="0098623B">
        <w:rPr>
          <w:color w:val="000000"/>
        </w:rPr>
        <w:t>,</w:t>
      </w:r>
      <w:r w:rsidR="009C5B56" w:rsidRPr="0098623B">
        <w:rPr>
          <w:b/>
          <w:color w:val="000000"/>
        </w:rPr>
        <w:t xml:space="preserve"> </w:t>
      </w:r>
      <w:r w:rsidR="009C5B56" w:rsidRPr="0098623B">
        <w:rPr>
          <w:color w:val="000000"/>
        </w:rPr>
        <w:t xml:space="preserve">Madonas novada pašvaldības dome </w:t>
      </w:r>
      <w:r w:rsidR="009C5B56" w:rsidRPr="0098623B">
        <w:rPr>
          <w:b/>
          <w:color w:val="000000"/>
        </w:rPr>
        <w:t>NOLEMJ:</w:t>
      </w:r>
    </w:p>
    <w:bookmarkEnd w:id="0"/>
    <w:p w14:paraId="03C85C79" w14:textId="77777777" w:rsidR="00AD34B9" w:rsidRPr="00AD34B9" w:rsidRDefault="00AD34B9" w:rsidP="00AD34B9">
      <w:pPr>
        <w:widowControl/>
        <w:suppressAutoHyphens w:val="0"/>
        <w:ind w:firstLine="720"/>
        <w:jc w:val="both"/>
        <w:rPr>
          <w:rFonts w:eastAsia="MS Mincho" w:cs="Times New Roman"/>
          <w:kern w:val="0"/>
          <w:lang w:eastAsia="en-US" w:bidi="ar-SA"/>
        </w:rPr>
      </w:pPr>
      <w:r w:rsidRPr="00AD34B9">
        <w:rPr>
          <w:rFonts w:eastAsia="MS Mincho" w:cs="Times New Roman"/>
          <w:kern w:val="0"/>
          <w:lang w:eastAsia="en-US" w:bidi="ar-SA"/>
        </w:rPr>
        <w:t>Veikt grozījumus Madonas novada pašvaldības domes 29.03.2018. lēmuma Nr.138 (protokols Nr.5, 31.p.) “Par Madonas novada pašvaldības maksas pakalpojumu cenrāžu apstiprināšanu” pielikumā Nr. 6  “Lazdonas pagasta pārvaldē sniegtie maksas pakalpojumi un to cenrādis” un izteikt jaunā redakcijā šādus maksas pakalpojumu izcenojumus:</w:t>
      </w:r>
    </w:p>
    <w:p w14:paraId="38902D6D" w14:textId="77777777" w:rsidR="00AD34B9" w:rsidRPr="00AD34B9" w:rsidRDefault="00AD34B9" w:rsidP="00AD34B9">
      <w:pPr>
        <w:widowControl/>
        <w:suppressAutoHyphens w:val="0"/>
        <w:ind w:firstLine="720"/>
        <w:jc w:val="both"/>
        <w:rPr>
          <w:rFonts w:eastAsia="MS Mincho" w:cs="Times New Roman"/>
          <w:kern w:val="0"/>
          <w:lang w:eastAsia="en-US" w:bidi="ar-SA"/>
        </w:rPr>
      </w:pPr>
    </w:p>
    <w:tbl>
      <w:tblPr>
        <w:tblStyle w:val="Reatabula1"/>
        <w:tblW w:w="0" w:type="auto"/>
        <w:tblLook w:val="04A0" w:firstRow="1" w:lastRow="0" w:firstColumn="1" w:lastColumn="0" w:noHBand="0" w:noVBand="1"/>
      </w:tblPr>
      <w:tblGrid>
        <w:gridCol w:w="2167"/>
        <w:gridCol w:w="1939"/>
        <w:gridCol w:w="1701"/>
        <w:gridCol w:w="1701"/>
        <w:gridCol w:w="1701"/>
      </w:tblGrid>
      <w:tr w:rsidR="00AD34B9" w:rsidRPr="00AD34B9" w14:paraId="7B1A32D8" w14:textId="77777777" w:rsidTr="00AE1407">
        <w:tc>
          <w:tcPr>
            <w:tcW w:w="2167" w:type="dxa"/>
          </w:tcPr>
          <w:p w14:paraId="0E2B9388" w14:textId="77777777" w:rsidR="00AD34B9" w:rsidRPr="00AD34B9" w:rsidRDefault="00AD34B9" w:rsidP="00AD34B9">
            <w:pPr>
              <w:widowControl/>
              <w:suppressAutoHyphens w:val="0"/>
              <w:rPr>
                <w:rFonts w:eastAsia="MS Mincho" w:cs="Times New Roman"/>
                <w:kern w:val="0"/>
                <w:lang w:eastAsia="en-US" w:bidi="ar-SA"/>
              </w:rPr>
            </w:pPr>
            <w:r w:rsidRPr="00AD34B9">
              <w:rPr>
                <w:rFonts w:eastAsia="MS Mincho" w:cs="Times New Roman"/>
                <w:kern w:val="0"/>
                <w:lang w:eastAsia="en-US" w:bidi="ar-SA"/>
              </w:rPr>
              <w:t>Pakalpojums</w:t>
            </w:r>
          </w:p>
        </w:tc>
        <w:tc>
          <w:tcPr>
            <w:tcW w:w="1939" w:type="dxa"/>
          </w:tcPr>
          <w:p w14:paraId="38C76F38"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Mērvienība</w:t>
            </w:r>
          </w:p>
        </w:tc>
        <w:tc>
          <w:tcPr>
            <w:tcW w:w="1701" w:type="dxa"/>
          </w:tcPr>
          <w:p w14:paraId="560294A1"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Cena bez PVN (EUR)</w:t>
            </w:r>
          </w:p>
        </w:tc>
        <w:tc>
          <w:tcPr>
            <w:tcW w:w="1701" w:type="dxa"/>
          </w:tcPr>
          <w:p w14:paraId="3C0CC3CC"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PVN (EUR)</w:t>
            </w:r>
          </w:p>
        </w:tc>
        <w:tc>
          <w:tcPr>
            <w:tcW w:w="1701" w:type="dxa"/>
          </w:tcPr>
          <w:p w14:paraId="50C044BF"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Cena kopā ar PVN (EUR)</w:t>
            </w:r>
          </w:p>
        </w:tc>
        <w:bookmarkStart w:id="1" w:name="_GoBack"/>
        <w:bookmarkEnd w:id="1"/>
      </w:tr>
      <w:tr w:rsidR="00AD34B9" w:rsidRPr="00AD34B9" w14:paraId="42F7B5DD" w14:textId="77777777" w:rsidTr="00AE1407">
        <w:tc>
          <w:tcPr>
            <w:tcW w:w="2167" w:type="dxa"/>
          </w:tcPr>
          <w:p w14:paraId="371D720B" w14:textId="77777777" w:rsidR="00AD34B9" w:rsidRPr="00AD34B9" w:rsidRDefault="00AD34B9" w:rsidP="00AD34B9">
            <w:pPr>
              <w:widowControl/>
              <w:suppressAutoHyphens w:val="0"/>
              <w:rPr>
                <w:rFonts w:eastAsia="MS Mincho" w:cs="Times New Roman"/>
                <w:kern w:val="0"/>
                <w:lang w:eastAsia="en-US" w:bidi="ar-SA"/>
              </w:rPr>
            </w:pPr>
            <w:r w:rsidRPr="00AD34B9">
              <w:rPr>
                <w:rFonts w:eastAsia="MS Mincho" w:cs="Times New Roman"/>
                <w:kern w:val="0"/>
                <w:lang w:eastAsia="en-US" w:bidi="ar-SA"/>
              </w:rPr>
              <w:t>Dušas pakalpojumi strādājošajiem</w:t>
            </w:r>
          </w:p>
        </w:tc>
        <w:tc>
          <w:tcPr>
            <w:tcW w:w="1939" w:type="dxa"/>
          </w:tcPr>
          <w:p w14:paraId="7FACE749"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1 reize</w:t>
            </w:r>
          </w:p>
        </w:tc>
        <w:tc>
          <w:tcPr>
            <w:tcW w:w="1701" w:type="dxa"/>
          </w:tcPr>
          <w:p w14:paraId="2731CCD0"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1,00</w:t>
            </w:r>
          </w:p>
        </w:tc>
        <w:tc>
          <w:tcPr>
            <w:tcW w:w="1701" w:type="dxa"/>
          </w:tcPr>
          <w:p w14:paraId="3C8B139E"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0,21</w:t>
            </w:r>
          </w:p>
        </w:tc>
        <w:tc>
          <w:tcPr>
            <w:tcW w:w="1701" w:type="dxa"/>
          </w:tcPr>
          <w:p w14:paraId="3E7C55E3"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1,21</w:t>
            </w:r>
          </w:p>
        </w:tc>
      </w:tr>
      <w:tr w:rsidR="00AD34B9" w:rsidRPr="00AD34B9" w14:paraId="78C38366" w14:textId="77777777" w:rsidTr="00AE1407">
        <w:tc>
          <w:tcPr>
            <w:tcW w:w="2167" w:type="dxa"/>
          </w:tcPr>
          <w:p w14:paraId="3408B54E" w14:textId="77777777" w:rsidR="00AD34B9" w:rsidRPr="00AD34B9" w:rsidRDefault="00AD34B9" w:rsidP="00AD34B9">
            <w:pPr>
              <w:widowControl/>
              <w:suppressAutoHyphens w:val="0"/>
              <w:rPr>
                <w:rFonts w:eastAsia="MS Mincho" w:cs="Times New Roman"/>
                <w:kern w:val="0"/>
                <w:lang w:eastAsia="en-US" w:bidi="ar-SA"/>
              </w:rPr>
            </w:pPr>
            <w:r w:rsidRPr="00AD34B9">
              <w:rPr>
                <w:rFonts w:eastAsia="MS Mincho" w:cs="Times New Roman"/>
                <w:kern w:val="0"/>
                <w:lang w:eastAsia="en-US" w:bidi="ar-SA"/>
              </w:rPr>
              <w:t>Dušas pakalpojumi bezdarbniekiem, pensionāriem</w:t>
            </w:r>
          </w:p>
        </w:tc>
        <w:tc>
          <w:tcPr>
            <w:tcW w:w="1939" w:type="dxa"/>
          </w:tcPr>
          <w:p w14:paraId="4D2038E4"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1 reize</w:t>
            </w:r>
          </w:p>
        </w:tc>
        <w:tc>
          <w:tcPr>
            <w:tcW w:w="1701" w:type="dxa"/>
          </w:tcPr>
          <w:p w14:paraId="68336E93"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0,71</w:t>
            </w:r>
          </w:p>
        </w:tc>
        <w:tc>
          <w:tcPr>
            <w:tcW w:w="1701" w:type="dxa"/>
          </w:tcPr>
          <w:p w14:paraId="1825DEE3"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0,15</w:t>
            </w:r>
          </w:p>
        </w:tc>
        <w:tc>
          <w:tcPr>
            <w:tcW w:w="1701" w:type="dxa"/>
          </w:tcPr>
          <w:p w14:paraId="7FE46A00"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0,86</w:t>
            </w:r>
          </w:p>
        </w:tc>
      </w:tr>
      <w:tr w:rsidR="00AD34B9" w:rsidRPr="00AD34B9" w14:paraId="69586C59" w14:textId="77777777" w:rsidTr="00AE1407">
        <w:tc>
          <w:tcPr>
            <w:tcW w:w="2167" w:type="dxa"/>
          </w:tcPr>
          <w:p w14:paraId="7F94D491" w14:textId="77777777" w:rsidR="00AD34B9" w:rsidRPr="00AD34B9" w:rsidRDefault="00AD34B9" w:rsidP="00AD34B9">
            <w:pPr>
              <w:widowControl/>
              <w:suppressAutoHyphens w:val="0"/>
              <w:rPr>
                <w:rFonts w:eastAsia="MS Mincho" w:cs="Times New Roman"/>
                <w:kern w:val="0"/>
                <w:lang w:eastAsia="en-US" w:bidi="ar-SA"/>
              </w:rPr>
            </w:pPr>
            <w:r w:rsidRPr="00AD34B9">
              <w:rPr>
                <w:rFonts w:eastAsia="MS Mincho" w:cs="Times New Roman"/>
                <w:kern w:val="0"/>
                <w:lang w:eastAsia="en-US" w:bidi="ar-SA"/>
              </w:rPr>
              <w:t>Pagasta zāles noma</w:t>
            </w:r>
          </w:p>
        </w:tc>
        <w:tc>
          <w:tcPr>
            <w:tcW w:w="1939" w:type="dxa"/>
          </w:tcPr>
          <w:p w14:paraId="0BABA9E7"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1 stunda</w:t>
            </w:r>
          </w:p>
        </w:tc>
        <w:tc>
          <w:tcPr>
            <w:tcW w:w="1701" w:type="dxa"/>
          </w:tcPr>
          <w:p w14:paraId="53A1B3B2"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7,11</w:t>
            </w:r>
          </w:p>
        </w:tc>
        <w:tc>
          <w:tcPr>
            <w:tcW w:w="1701" w:type="dxa"/>
          </w:tcPr>
          <w:p w14:paraId="7D779704"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1,49</w:t>
            </w:r>
          </w:p>
        </w:tc>
        <w:tc>
          <w:tcPr>
            <w:tcW w:w="1701" w:type="dxa"/>
          </w:tcPr>
          <w:p w14:paraId="6FE96F1C"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8,60</w:t>
            </w:r>
          </w:p>
        </w:tc>
      </w:tr>
      <w:tr w:rsidR="00AD34B9" w:rsidRPr="00AD34B9" w14:paraId="14D90906" w14:textId="77777777" w:rsidTr="00AE1407">
        <w:tc>
          <w:tcPr>
            <w:tcW w:w="2167" w:type="dxa"/>
          </w:tcPr>
          <w:p w14:paraId="004170D2" w14:textId="77777777" w:rsidR="00AD34B9" w:rsidRPr="00AD34B9" w:rsidRDefault="00AD34B9" w:rsidP="00AD34B9">
            <w:pPr>
              <w:widowControl/>
              <w:suppressAutoHyphens w:val="0"/>
              <w:rPr>
                <w:rFonts w:eastAsia="MS Mincho" w:cs="Times New Roman"/>
                <w:kern w:val="0"/>
                <w:lang w:eastAsia="en-US" w:bidi="ar-SA"/>
              </w:rPr>
            </w:pPr>
            <w:r w:rsidRPr="00AD34B9">
              <w:rPr>
                <w:rFonts w:eastAsia="MS Mincho" w:cs="Times New Roman"/>
                <w:kern w:val="0"/>
                <w:lang w:eastAsia="en-US" w:bidi="ar-SA"/>
              </w:rPr>
              <w:t>Veļas mazgāšana</w:t>
            </w:r>
          </w:p>
        </w:tc>
        <w:tc>
          <w:tcPr>
            <w:tcW w:w="1939" w:type="dxa"/>
          </w:tcPr>
          <w:p w14:paraId="6991DDA3"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 xml:space="preserve">1 reize līdz 5 kg (bez </w:t>
            </w:r>
            <w:proofErr w:type="spellStart"/>
            <w:r w:rsidRPr="00AD34B9">
              <w:rPr>
                <w:rFonts w:eastAsia="MS Mincho" w:cs="Times New Roman"/>
                <w:kern w:val="0"/>
                <w:lang w:eastAsia="en-US" w:bidi="ar-SA"/>
              </w:rPr>
              <w:t>mazg.līdz</w:t>
            </w:r>
            <w:proofErr w:type="spellEnd"/>
            <w:r w:rsidRPr="00AD34B9">
              <w:rPr>
                <w:rFonts w:eastAsia="MS Mincho" w:cs="Times New Roman"/>
                <w:kern w:val="0"/>
                <w:lang w:eastAsia="en-US" w:bidi="ar-SA"/>
              </w:rPr>
              <w:t>.)</w:t>
            </w:r>
          </w:p>
        </w:tc>
        <w:tc>
          <w:tcPr>
            <w:tcW w:w="1701" w:type="dxa"/>
          </w:tcPr>
          <w:p w14:paraId="1BF09CA5"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0,71</w:t>
            </w:r>
          </w:p>
        </w:tc>
        <w:tc>
          <w:tcPr>
            <w:tcW w:w="1701" w:type="dxa"/>
          </w:tcPr>
          <w:p w14:paraId="78B6336A"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0,15</w:t>
            </w:r>
          </w:p>
        </w:tc>
        <w:tc>
          <w:tcPr>
            <w:tcW w:w="1701" w:type="dxa"/>
          </w:tcPr>
          <w:p w14:paraId="00DF62AC" w14:textId="77777777" w:rsidR="00AD34B9" w:rsidRPr="00AD34B9" w:rsidRDefault="00AD34B9" w:rsidP="00AD34B9">
            <w:pPr>
              <w:widowControl/>
              <w:suppressAutoHyphens w:val="0"/>
              <w:jc w:val="center"/>
              <w:rPr>
                <w:rFonts w:eastAsia="MS Mincho" w:cs="Times New Roman"/>
                <w:kern w:val="0"/>
                <w:lang w:eastAsia="en-US" w:bidi="ar-SA"/>
              </w:rPr>
            </w:pPr>
            <w:r w:rsidRPr="00AD34B9">
              <w:rPr>
                <w:rFonts w:eastAsia="MS Mincho" w:cs="Times New Roman"/>
                <w:kern w:val="0"/>
                <w:lang w:eastAsia="en-US" w:bidi="ar-SA"/>
              </w:rPr>
              <w:t>0,86</w:t>
            </w:r>
          </w:p>
        </w:tc>
      </w:tr>
    </w:tbl>
    <w:p w14:paraId="0A650DED" w14:textId="77777777" w:rsidR="00BA6D75" w:rsidRPr="00AE123B" w:rsidRDefault="00BA6D75" w:rsidP="00BA6D75">
      <w:pPr>
        <w:suppressAutoHyphens w:val="0"/>
        <w:contextualSpacing/>
        <w:jc w:val="both"/>
        <w:rPr>
          <w:rFonts w:eastAsiaTheme="minorHAnsi" w:cs="Times New Roman"/>
          <w:kern w:val="0"/>
        </w:rPr>
      </w:pPr>
    </w:p>
    <w:p w14:paraId="46637E7D" w14:textId="34806CBE" w:rsidR="00AD34B9" w:rsidRDefault="00BA6D75" w:rsidP="00BA6D75">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3DD89335" w14:textId="77777777" w:rsidR="00BA6D75" w:rsidRPr="00AD34B9" w:rsidRDefault="00BA6D75" w:rsidP="00BA6D75">
      <w:pPr>
        <w:widowControl/>
        <w:suppressAutoHyphens w:val="0"/>
        <w:ind w:left="720" w:firstLine="720"/>
        <w:jc w:val="both"/>
        <w:rPr>
          <w:rFonts w:eastAsia="Times New Roman" w:cs="Times New Roman"/>
          <w:color w:val="000000"/>
          <w:kern w:val="0"/>
          <w:lang w:eastAsia="lv-LV" w:bidi="lo-LA"/>
        </w:rPr>
      </w:pPr>
    </w:p>
    <w:p w14:paraId="71F84DFC" w14:textId="3E4AC639" w:rsidR="00AD34B9" w:rsidRPr="00AD34B9" w:rsidRDefault="00AD34B9" w:rsidP="00AD34B9">
      <w:pPr>
        <w:widowControl/>
        <w:suppressAutoHyphens w:val="0"/>
        <w:rPr>
          <w:rFonts w:eastAsia="MS Mincho" w:cs="Times New Roman"/>
          <w:i/>
          <w:kern w:val="0"/>
          <w:lang w:eastAsia="en-US" w:bidi="ar-SA"/>
        </w:rPr>
      </w:pPr>
      <w:proofErr w:type="spellStart"/>
      <w:r w:rsidRPr="00AD34B9">
        <w:rPr>
          <w:rFonts w:eastAsia="MS Mincho" w:cs="Times New Roman"/>
          <w:i/>
          <w:kern w:val="0"/>
          <w:lang w:eastAsia="en-US" w:bidi="ar-SA"/>
        </w:rPr>
        <w:t>Bankova</w:t>
      </w:r>
      <w:proofErr w:type="spellEnd"/>
      <w:r w:rsidRPr="00AD34B9">
        <w:rPr>
          <w:rFonts w:eastAsia="MS Mincho" w:cs="Times New Roman"/>
          <w:i/>
          <w:kern w:val="0"/>
          <w:lang w:eastAsia="en-US" w:bidi="ar-SA"/>
        </w:rPr>
        <w:t xml:space="preserve"> 64826555</w:t>
      </w:r>
    </w:p>
    <w:p w14:paraId="6AA1F5E0" w14:textId="77777777" w:rsidR="00235D43" w:rsidRDefault="00235D43"/>
    <w:sectPr w:rsidR="00235D43" w:rsidSect="00BA6D75">
      <w:pgSz w:w="11906" w:h="16838"/>
      <w:pgMar w:top="851" w:right="1133"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10"/>
    <w:rsid w:val="00235D43"/>
    <w:rsid w:val="00617810"/>
    <w:rsid w:val="009C5B56"/>
    <w:rsid w:val="00AD34B9"/>
    <w:rsid w:val="00AE1407"/>
    <w:rsid w:val="00BA6D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0C7B"/>
  <w15:chartTrackingRefBased/>
  <w15:docId w15:val="{13F8212F-C2F0-4DCB-8295-55C61021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D34B9"/>
    <w:pPr>
      <w:widowControl w:val="0"/>
      <w:suppressAutoHyphens/>
      <w:spacing w:after="0" w:line="240" w:lineRule="auto"/>
    </w:pPr>
    <w:rPr>
      <w:rFonts w:ascii="Times New Roman" w:eastAsia="SimSun" w:hAnsi="Times New Roman" w:cs="Arial"/>
      <w:kern w:val="2"/>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uiPriority w:val="39"/>
    <w:rsid w:val="00AD3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AD3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1619</Words>
  <Characters>923</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2022-04-21T09:53:00Z</dcterms:created>
  <dcterms:modified xsi:type="dcterms:W3CDTF">2022-04-21T11:38:00Z</dcterms:modified>
</cp:coreProperties>
</file>